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both"/>
        <w:rPr>
          <w:rFonts w:ascii="Dosis" w:cs="Dosis" w:eastAsia="Dosis" w:hAnsi="Dosis"/>
          <w:b w:val="1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Sugerencias bibliográficas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numPr>
          <w:ilvl w:val="0"/>
          <w:numId w:val="1"/>
        </w:numPr>
        <w:ind w:left="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AbC - Aprendizaje basado en Competencias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Antes de comenzar con la definición de las cuatro competencias de las líneas prioritarias, recomendamos leer algo de AbC.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contextualSpacing w:val="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El ABC del aprendizaje basado en competencias: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contextualSpacing w:val="0"/>
        <w:jc w:val="both"/>
        <w:rPr>
          <w:i w:val="1"/>
        </w:rPr>
      </w:pPr>
      <w:hyperlink r:id="rId6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https://www.shiftelearning.com/blogshift/el-abc-del-aprendizaje-basado-en-competencias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Es un artículo muy breve para definir conceptos.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Zabala, A. y Arnau, L. (2007). </w:t>
      </w:r>
      <w:r w:rsidDel="00000000" w:rsidR="00000000" w:rsidRPr="00000000">
        <w:rPr>
          <w:i w:val="1"/>
          <w:color w:val="000000"/>
          <w:rtl w:val="0"/>
        </w:rPr>
        <w:t xml:space="preserve">Ideas clave: cómo aprender y enseñar competencias. </w:t>
      </w:r>
      <w:r w:rsidDel="00000000" w:rsidR="00000000" w:rsidRPr="00000000">
        <w:rPr>
          <w:color w:val="000000"/>
          <w:rtl w:val="0"/>
        </w:rPr>
        <w:t xml:space="preserve">Barcelona: Graó.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Delors, J. (1996). Los cuatro pilares de la educación. </w:t>
      </w:r>
      <w:r w:rsidDel="00000000" w:rsidR="00000000" w:rsidRPr="00000000">
        <w:rPr>
          <w:i w:val="1"/>
          <w:color w:val="000000"/>
          <w:rtl w:val="0"/>
        </w:rPr>
        <w:t xml:space="preserve">La educación encierra un tesoro. </w:t>
      </w:r>
      <w:r w:rsidDel="00000000" w:rsidR="00000000" w:rsidRPr="00000000">
        <w:rPr>
          <w:color w:val="000000"/>
          <w:rtl w:val="0"/>
        </w:rPr>
        <w:t xml:space="preserve">Informe a la UNESCO de la Comisión internacional sobre la educación para el siglo XXI. Madrid: España: Santillana/UNESCO. pp. 91- 103. </w:t>
      </w:r>
      <w:r w:rsidDel="00000000" w:rsidR="00000000" w:rsidRPr="00000000">
        <w:rPr>
          <w:color w:val="0000ff"/>
          <w:rtl w:val="0"/>
        </w:rPr>
        <w:t xml:space="preserve">http://uom.uib.cat/digitalAssets/221/221918_9.pdf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0"/>
          <w:numId w:val="1"/>
        </w:numPr>
        <w:ind w:left="0" w:firstLine="0"/>
        <w:contextualSpacing w:val="0"/>
        <w:jc w:val="both"/>
        <w:rPr/>
      </w:pPr>
      <w:r w:rsidDel="00000000" w:rsidR="00000000" w:rsidRPr="00000000">
        <w:rPr>
          <w:rFonts w:ascii="Dosis" w:cs="Dosis" w:eastAsia="Dosis" w:hAnsi="Dosis"/>
          <w:rtl w:val="0"/>
        </w:rPr>
        <w:t xml:space="preserve">Pensamiento sistémico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O’Connor, J. y McDermott, I. (1998). </w:t>
      </w:r>
      <w:r w:rsidDel="00000000" w:rsidR="00000000" w:rsidRPr="00000000">
        <w:rPr>
          <w:i w:val="1"/>
          <w:color w:val="000000"/>
          <w:rtl w:val="0"/>
        </w:rPr>
        <w:t xml:space="preserve">Introducción al pensamiento sintémico. Recursos esenciales para la creatividad y la resolución de problemas</w:t>
      </w:r>
      <w:r w:rsidDel="00000000" w:rsidR="00000000" w:rsidRPr="00000000">
        <w:rPr>
          <w:color w:val="000000"/>
          <w:rtl w:val="0"/>
        </w:rPr>
        <w:t xml:space="preserve">. Madrid: Urano.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Bergmann, J., Swartz, R. J., Costa, A. L., Beyer, B. K., Reagan, R., Kallick, B., Fernández, M. M., Fletes, V. A. B. (2015). </w:t>
      </w:r>
      <w:r w:rsidDel="00000000" w:rsidR="00000000" w:rsidRPr="00000000">
        <w:rPr>
          <w:i w:val="1"/>
          <w:color w:val="000000"/>
          <w:rtl w:val="0"/>
        </w:rPr>
        <w:t xml:space="preserve">El aprendizaje basado en el pensamiento: Cómo desarrollar en los alumnos las competencias de siglo XXI</w:t>
      </w:r>
      <w:r w:rsidDel="00000000" w:rsidR="00000000" w:rsidRPr="00000000">
        <w:rPr>
          <w:color w:val="000000"/>
          <w:rtl w:val="0"/>
        </w:rPr>
        <w:t xml:space="preserve">. Madrid: 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Ritchhart, R., Church, M. y Morrison, K. (2014). </w:t>
      </w:r>
      <w:r w:rsidDel="00000000" w:rsidR="00000000" w:rsidRPr="00000000">
        <w:rPr>
          <w:i w:val="1"/>
          <w:color w:val="000000"/>
          <w:rtl w:val="0"/>
        </w:rPr>
        <w:t xml:space="preserve">Hacer el pensamiento visible</w:t>
      </w:r>
      <w:r w:rsidDel="00000000" w:rsidR="00000000" w:rsidRPr="00000000">
        <w:rPr>
          <w:color w:val="000000"/>
          <w:rtl w:val="0"/>
        </w:rPr>
        <w:t xml:space="preserve">. Barcelona: Paidós.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ProFuturo (2015). </w:t>
      </w:r>
      <w:r w:rsidDel="00000000" w:rsidR="00000000" w:rsidRPr="00000000">
        <w:rPr>
          <w:i w:val="1"/>
          <w:color w:val="000000"/>
          <w:rtl w:val="0"/>
        </w:rPr>
        <w:t xml:space="preserve">Enseñar a pensar, nuevo curriculum. Proyecto Zero. </w:t>
      </w:r>
      <w:r w:rsidDel="00000000" w:rsidR="00000000" w:rsidRPr="00000000">
        <w:rPr>
          <w:color w:val="0000ff"/>
          <w:rtl w:val="0"/>
        </w:rPr>
        <w:t xml:space="preserve">https://observatorio.profuturo.education/blog/2015/01/08/ensenar-a- pensar-nuevo-curriculum-project-zero/ </w:t>
      </w:r>
      <w:r w:rsidDel="00000000" w:rsidR="00000000" w:rsidRPr="00000000">
        <w:rPr>
          <w:color w:val="000000"/>
          <w:rtl w:val="0"/>
        </w:rPr>
        <w:t xml:space="preserve">Algo sobre pensamiento visible y dos links importantes al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1"/>
        </w:numPr>
        <w:ind w:left="0" w:firstLine="0"/>
        <w:contextualSpacing w:val="0"/>
        <w:jc w:val="both"/>
        <w:rPr/>
      </w:pPr>
      <w:r w:rsidDel="00000000" w:rsidR="00000000" w:rsidRPr="00000000">
        <w:rPr>
          <w:rFonts w:ascii="Dosis" w:cs="Dosis" w:eastAsia="Dosis" w:hAnsi="Dosis"/>
          <w:rtl w:val="0"/>
        </w:rPr>
        <w:t xml:space="preserve">Competencia emocional – gestión del talento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Alles, M. (2007). </w:t>
      </w:r>
      <w:r w:rsidDel="00000000" w:rsidR="00000000" w:rsidRPr="00000000">
        <w:rPr>
          <w:i w:val="1"/>
          <w:color w:val="000000"/>
          <w:rtl w:val="0"/>
        </w:rPr>
        <w:t xml:space="preserve">Desarrollo del talento humano basado en competencias</w:t>
      </w:r>
      <w:r w:rsidDel="00000000" w:rsidR="00000000" w:rsidRPr="00000000">
        <w:rPr>
          <w:color w:val="000000"/>
          <w:rtl w:val="0"/>
        </w:rPr>
        <w:t xml:space="preserve">. Buenos Aires: Granica.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Latieri, L. y Goleman, D. (2009). </w:t>
      </w:r>
      <w:r w:rsidDel="00000000" w:rsidR="00000000" w:rsidRPr="00000000">
        <w:rPr>
          <w:i w:val="1"/>
          <w:color w:val="000000"/>
          <w:rtl w:val="0"/>
        </w:rPr>
        <w:t xml:space="preserve">Inteligencia emocional infantil y juvenil</w:t>
      </w:r>
      <w:r w:rsidDel="00000000" w:rsidR="00000000" w:rsidRPr="00000000">
        <w:rPr>
          <w:color w:val="000000"/>
          <w:rtl w:val="0"/>
        </w:rPr>
        <w:t xml:space="preserve">. Madrid: Aguilar.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Giráldez Hayes, A. y Prince, E.S. (2017). </w:t>
      </w:r>
      <w:r w:rsidDel="00000000" w:rsidR="00000000" w:rsidRPr="00000000">
        <w:rPr>
          <w:i w:val="1"/>
          <w:color w:val="000000"/>
          <w:rtl w:val="0"/>
        </w:rPr>
        <w:t xml:space="preserve">Habilidades para la vida. Aprender a ser y aprender a convivir en la escuela</w:t>
      </w:r>
      <w:r w:rsidDel="00000000" w:rsidR="00000000" w:rsidRPr="00000000">
        <w:rPr>
          <w:color w:val="000000"/>
          <w:rtl w:val="0"/>
        </w:rPr>
        <w:t xml:space="preserve">. Madrid: SM.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1"/>
        </w:numPr>
        <w:ind w:left="0" w:firstLine="0"/>
        <w:contextualSpacing w:val="0"/>
        <w:jc w:val="both"/>
        <w:rPr/>
      </w:pPr>
      <w:r w:rsidDel="00000000" w:rsidR="00000000" w:rsidRPr="00000000">
        <w:rPr>
          <w:rFonts w:ascii="Dosis" w:cs="Dosis" w:eastAsia="Dosis" w:hAnsi="Dosis"/>
          <w:rtl w:val="0"/>
        </w:rPr>
        <w:t xml:space="preserve">Literacy </w:t>
      </w:r>
    </w:p>
    <w:p w:rsidR="00000000" w:rsidDel="00000000" w:rsidP="00000000" w:rsidRDefault="00000000" w:rsidRPr="00000000" w14:paraId="00000013">
      <w:pPr>
        <w:widowControl w:val="0"/>
        <w:spacing w:after="240" w:lineRule="auto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UNESCO. (2015). </w:t>
      </w:r>
      <w:r w:rsidDel="00000000" w:rsidR="00000000" w:rsidRPr="00000000">
        <w:rPr>
          <w:i w:val="1"/>
          <w:color w:val="000000"/>
          <w:rtl w:val="0"/>
        </w:rPr>
        <w:t xml:space="preserve">What kind of learning for the 21st century</w:t>
      </w:r>
      <w:r w:rsidDel="00000000" w:rsidR="00000000" w:rsidRPr="00000000">
        <w:rPr>
          <w:color w:val="000000"/>
          <w:rtl w:val="0"/>
        </w:rPr>
        <w:t xml:space="preserve">? </w:t>
      </w:r>
      <w:r w:rsidDel="00000000" w:rsidR="00000000" w:rsidRPr="00000000">
        <w:rPr>
          <w:color w:val="0000ff"/>
          <w:rtl w:val="0"/>
        </w:rPr>
        <w:t xml:space="preserve">http://unesdoc.unesco.org/images/0024/002429/242996E.pdf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Palsa, L. &amp; Roukano, E. (2015). </w:t>
      </w:r>
      <w:r w:rsidDel="00000000" w:rsidR="00000000" w:rsidRPr="00000000">
        <w:rPr>
          <w:i w:val="1"/>
          <w:color w:val="000000"/>
          <w:rtl w:val="0"/>
        </w:rPr>
        <w:t xml:space="preserve">Behind the concepts of multiliteracies and media literacy in the renewed Finnish core curriculum: A systematic literature review of peer-reviewed research</w:t>
      </w:r>
      <w:r w:rsidDel="00000000" w:rsidR="00000000" w:rsidRPr="00000000">
        <w:rPr>
          <w:color w:val="000000"/>
          <w:rtl w:val="0"/>
        </w:rPr>
        <w:t xml:space="preserve">. Seminar.net - International journal of media, technology and lifelong learning Vol. 11 – Issue 2 </w:t>
      </w:r>
      <w:r w:rsidDel="00000000" w:rsidR="00000000" w:rsidRPr="00000000">
        <w:rPr>
          <w:color w:val="0000ff"/>
          <w:rtl w:val="0"/>
        </w:rPr>
        <w:t xml:space="preserve">https://journals.hioa.no/index.php/seminar/article/view/2354/2184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17" w:top="243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Dosis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Dosis" w:cs="Dosis" w:eastAsia="Dosis" w:hAnsi="Dosi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-344860</wp:posOffset>
          </wp:positionH>
          <wp:positionV relativeFrom="paragraph">
            <wp:posOffset>115013</wp:posOffset>
          </wp:positionV>
          <wp:extent cx="6583561" cy="752252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3561" cy="7522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sis" w:cs="Dosis" w:eastAsia="Dosis" w:hAnsi="Dosi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iftelearning.com/blogshift/el-abc-del-aprendizaje-basado-en-competencia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